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33" w:rsidRDefault="007C5960">
      <w:pPr>
        <w:pStyle w:val="10"/>
        <w:keepNext/>
        <w:keepLines/>
        <w:shd w:val="clear" w:color="auto" w:fill="auto"/>
        <w:spacing w:after="257"/>
        <w:ind w:right="40"/>
      </w:pPr>
      <w:bookmarkStart w:id="0" w:name="bookmark0"/>
      <w:r>
        <w:t>Министерство транспорта Российской Федерации Федеральная служба по надзору в сфере транспорта</w:t>
      </w:r>
      <w:bookmarkEnd w:id="0"/>
    </w:p>
    <w:p w:rsidR="005C3233" w:rsidRDefault="007C5960">
      <w:pPr>
        <w:pStyle w:val="50"/>
        <w:shd w:val="clear" w:color="auto" w:fill="auto"/>
        <w:spacing w:before="0" w:line="230" w:lineRule="exact"/>
        <w:ind w:right="40"/>
      </w:pPr>
      <w:bookmarkStart w:id="1" w:name="bookmark1"/>
      <w:r>
        <w:rPr>
          <w:rStyle w:val="51"/>
        </w:rPr>
        <w:t>Управление государственного автодорожного надзора по Брянской области</w:t>
      </w:r>
      <w:bookmarkEnd w:id="1"/>
    </w:p>
    <w:p w:rsidR="005C3233" w:rsidRDefault="007C5960">
      <w:pPr>
        <w:pStyle w:val="60"/>
        <w:shd w:val="clear" w:color="auto" w:fill="auto"/>
        <w:spacing w:after="1085" w:line="120" w:lineRule="exact"/>
        <w:ind w:right="40"/>
      </w:pPr>
      <w:r>
        <w:t>(наименование управления)</w:t>
      </w:r>
    </w:p>
    <w:p w:rsidR="005C3233" w:rsidRDefault="007C5960">
      <w:pPr>
        <w:pStyle w:val="20"/>
        <w:keepNext/>
        <w:keepLines/>
        <w:shd w:val="clear" w:color="auto" w:fill="auto"/>
        <w:spacing w:before="0" w:after="537" w:line="270" w:lineRule="exact"/>
        <w:ind w:right="40"/>
      </w:pPr>
      <w:bookmarkStart w:id="2" w:name="bookmark2"/>
      <w:r>
        <w:t>ПРЕДПИСАНИЕ № 313-17</w:t>
      </w:r>
      <w:bookmarkEnd w:id="2"/>
    </w:p>
    <w:p w:rsidR="005C3233" w:rsidRDefault="007C5960">
      <w:pPr>
        <w:pStyle w:val="30"/>
        <w:shd w:val="clear" w:color="auto" w:fill="auto"/>
        <w:tabs>
          <w:tab w:val="left" w:pos="3330"/>
        </w:tabs>
        <w:spacing w:after="848" w:line="230" w:lineRule="exact"/>
        <w:ind w:left="140"/>
        <w:jc w:val="both"/>
      </w:pPr>
      <w:r>
        <w:rPr>
          <w:rStyle w:val="31"/>
        </w:rPr>
        <w:t>от «03» мая 2017</w:t>
      </w:r>
      <w:r>
        <w:rPr>
          <w:rStyle w:val="310pt"/>
        </w:rPr>
        <w:t xml:space="preserve"> г.</w:t>
      </w:r>
      <w:r>
        <w:rPr>
          <w:rStyle w:val="31"/>
        </w:rPr>
        <w:tab/>
      </w:r>
      <w:r>
        <w:rPr>
          <w:rStyle w:val="31"/>
        </w:rPr>
        <w:t xml:space="preserve">Брянская область, Жуковский р-он, д. </w:t>
      </w:r>
      <w:proofErr w:type="spellStart"/>
      <w:r>
        <w:rPr>
          <w:rStyle w:val="31"/>
        </w:rPr>
        <w:t>Летошники</w:t>
      </w:r>
      <w:proofErr w:type="spellEnd"/>
      <w:r>
        <w:rPr>
          <w:rStyle w:val="31"/>
        </w:rPr>
        <w:t>, ул. Шоссейная, д. 59.</w:t>
      </w:r>
    </w:p>
    <w:p w:rsidR="005C3233" w:rsidRDefault="007C5960">
      <w:pPr>
        <w:pStyle w:val="33"/>
        <w:keepNext/>
        <w:keepLines/>
        <w:shd w:val="clear" w:color="auto" w:fill="auto"/>
        <w:spacing w:before="0"/>
        <w:ind w:right="40"/>
      </w:pPr>
      <w:bookmarkStart w:id="3" w:name="bookmark3"/>
      <w:r>
        <w:rPr>
          <w:rStyle w:val="34"/>
        </w:rPr>
        <w:t xml:space="preserve">Муниципальное бюджетное общеобразовательное учреждение </w:t>
      </w:r>
      <w:proofErr w:type="spellStart"/>
      <w:r>
        <w:rPr>
          <w:rStyle w:val="34"/>
        </w:rPr>
        <w:t>Летошницкая</w:t>
      </w:r>
      <w:proofErr w:type="spellEnd"/>
      <w:r>
        <w:rPr>
          <w:rStyle w:val="34"/>
        </w:rPr>
        <w:t xml:space="preserve"> </w:t>
      </w:r>
      <w:proofErr w:type="gramStart"/>
      <w:r>
        <w:rPr>
          <w:rStyle w:val="34"/>
        </w:rPr>
        <w:t>средняя</w:t>
      </w:r>
      <w:bookmarkEnd w:id="3"/>
      <w:proofErr w:type="gramEnd"/>
    </w:p>
    <w:p w:rsidR="005C3233" w:rsidRDefault="007C5960">
      <w:pPr>
        <w:pStyle w:val="33"/>
        <w:keepNext/>
        <w:keepLines/>
        <w:shd w:val="clear" w:color="auto" w:fill="auto"/>
        <w:spacing w:before="0"/>
        <w:ind w:right="40"/>
      </w:pPr>
      <w:bookmarkStart w:id="4" w:name="bookmark4"/>
      <w:r>
        <w:rPr>
          <w:rStyle w:val="34"/>
        </w:rPr>
        <w:t>общеобразовательная школа, 242732, Брянская область, Жуковский р-он,</w:t>
      </w:r>
      <w:r>
        <w:rPr>
          <w:rStyle w:val="3115pt"/>
        </w:rPr>
        <w:t xml:space="preserve"> д.</w:t>
      </w:r>
      <w:r>
        <w:rPr>
          <w:rStyle w:val="34"/>
        </w:rPr>
        <w:t xml:space="preserve"> </w:t>
      </w:r>
      <w:proofErr w:type="spellStart"/>
      <w:r>
        <w:rPr>
          <w:rStyle w:val="34"/>
        </w:rPr>
        <w:t>Летошники</w:t>
      </w:r>
      <w:proofErr w:type="spellEnd"/>
      <w:r>
        <w:rPr>
          <w:rStyle w:val="3115pt"/>
        </w:rPr>
        <w:t>, ул.</w:t>
      </w:r>
      <w:r>
        <w:rPr>
          <w:rStyle w:val="34"/>
        </w:rPr>
        <w:t xml:space="preserve"> Шоссейная</w:t>
      </w:r>
      <w:r>
        <w:rPr>
          <w:rStyle w:val="3115pt"/>
        </w:rPr>
        <w:t xml:space="preserve">, д. 59, </w:t>
      </w:r>
      <w:r>
        <w:rPr>
          <w:rStyle w:val="34"/>
        </w:rPr>
        <w:t>ОГРНЮЛ</w:t>
      </w:r>
      <w:r>
        <w:rPr>
          <w:rStyle w:val="34"/>
        </w:rPr>
        <w:t>1023201739406,, ИНН 3212003947.</w:t>
      </w:r>
      <w:bookmarkEnd w:id="4"/>
    </w:p>
    <w:p w:rsidR="005C3233" w:rsidRDefault="007C5960">
      <w:pPr>
        <w:pStyle w:val="60"/>
        <w:shd w:val="clear" w:color="auto" w:fill="auto"/>
        <w:spacing w:after="648" w:line="120" w:lineRule="exact"/>
        <w:ind w:right="40"/>
      </w:pPr>
      <w:r>
        <w:t>( наименование и местонахождение, а также сведения о государственной регистрации субъекта проверки)</w:t>
      </w:r>
    </w:p>
    <w:p w:rsidR="005C3233" w:rsidRDefault="007C5960">
      <w:pPr>
        <w:pStyle w:val="11"/>
        <w:shd w:val="clear" w:color="auto" w:fill="auto"/>
        <w:tabs>
          <w:tab w:val="left" w:pos="9510"/>
        </w:tabs>
        <w:spacing w:line="278" w:lineRule="exact"/>
        <w:ind w:left="140" w:right="40" w:firstLine="620"/>
        <w:jc w:val="both"/>
      </w:pPr>
      <w:r>
        <w:t>Акт от "03"</w:t>
      </w:r>
      <w:r>
        <w:t xml:space="preserve"> мая 2017г. №313-17, установлены нарушения лицензионных требований и условий при осуществлении деятельности: перевозки пассажиров автомобильным транспортом, оборудованным для перевозок более восьми человек (за исключением случая, если указанная деятельност</w:t>
      </w:r>
      <w:r>
        <w:t xml:space="preserve">ь осуществляется по заказам, либо для обеспечения собственных нужд юридического лица или индивидуального предпринимателя). </w:t>
      </w:r>
      <w:proofErr w:type="gramStart"/>
      <w:r>
        <w:t>На основании Федерального закона от 4 мая 2011 г. № 99- ФЗ "О лицензировании отдельных видов деятельности", ст.6 «Положения о Федерал</w:t>
      </w:r>
      <w:r>
        <w:t xml:space="preserve">ьной службе по надзору в сфере транспорта», утвержденного постановлением Правительства РФ от 30.04.2004 г. № 398, «Административного регламента Федеральной службы по надзору в сфере транспорта по исполнению государственной функции по контролю (надзору) за </w:t>
      </w:r>
      <w:r>
        <w:t>соблюдением юридическими лицами, индивидуальными предпринимателями законодательств</w:t>
      </w:r>
      <w:r w:rsidR="006C2F01">
        <w:t>а Российской Федерации</w:t>
      </w:r>
      <w:proofErr w:type="gramEnd"/>
      <w:r w:rsidR="006C2F01">
        <w:t xml:space="preserve"> в сфере </w:t>
      </w:r>
      <w:proofErr w:type="spellStart"/>
      <w:r w:rsidR="006C2F01">
        <w:rPr>
          <w:lang w:val="ru-RU"/>
        </w:rPr>
        <w:t>авт</w:t>
      </w:r>
      <w:r>
        <w:t>омобильного</w:t>
      </w:r>
      <w:proofErr w:type="spellEnd"/>
      <w:r w:rsidR="006C2F01">
        <w:rPr>
          <w:lang w:val="ru-RU"/>
        </w:rPr>
        <w:t xml:space="preserve"> </w:t>
      </w:r>
      <w:r>
        <w:t>транспорта»,</w:t>
      </w:r>
      <w:bookmarkStart w:id="5" w:name="_GoBack"/>
      <w:bookmarkEnd w:id="5"/>
    </w:p>
    <w:p w:rsidR="005C3233" w:rsidRDefault="007C5960">
      <w:pPr>
        <w:pStyle w:val="11"/>
        <w:shd w:val="clear" w:color="auto" w:fill="auto"/>
        <w:spacing w:after="244" w:line="278" w:lineRule="exact"/>
        <w:ind w:left="140" w:right="40"/>
        <w:jc w:val="both"/>
      </w:pPr>
      <w:r>
        <w:t>утвержденный приказом Минтранса РФ от 09.07.2012 г. № 204 обязываю устранить выявленные нарушения и выполнить следующ</w:t>
      </w:r>
      <w:r>
        <w:t>ие мероприятия: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174"/>
        <w:gridCol w:w="1838"/>
      </w:tblGrid>
      <w:tr w:rsidR="005C3233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№№</w:t>
            </w:r>
          </w:p>
          <w:p w:rsidR="005C3233" w:rsidRDefault="007C5960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Краткое изложение выявленных нарушений с указанием нормативного правового акта, требования которого нарушены.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360" w:firstLine="380"/>
            </w:pPr>
            <w:r>
              <w:t>Срок устранения нарушений</w:t>
            </w:r>
          </w:p>
        </w:tc>
      </w:tr>
      <w:tr w:rsidR="005C323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380"/>
            </w:pPr>
            <w:r>
              <w:t>3</w:t>
            </w:r>
          </w:p>
        </w:tc>
      </w:tr>
      <w:tr w:rsidR="005C3233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Переоформить </w:t>
            </w:r>
            <w:proofErr w:type="spellStart"/>
            <w:r>
              <w:t>лииензию</w:t>
            </w:r>
            <w:proofErr w:type="spellEnd"/>
            <w:r>
              <w:t xml:space="preserve"> на перевозку пассажиров в связи с изменением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До 02. Об. 20</w:t>
            </w:r>
            <w:r>
              <w:rPr>
                <w:rStyle w:val="310pt0"/>
              </w:rPr>
              <w:t>17г.</w:t>
            </w:r>
          </w:p>
        </w:tc>
      </w:tr>
      <w:tr w:rsidR="005C323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5C3233">
            <w:pPr>
              <w:framePr w:wrap="notBeside" w:vAnchor="text" w:hAnchor="text" w:xAlign="center" w:y="1"/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адресов мест осуществления </w:t>
            </w:r>
            <w:proofErr w:type="gramStart"/>
            <w:r>
              <w:t>юридическим</w:t>
            </w:r>
            <w:proofErr w:type="gramEnd"/>
            <w:r>
              <w:t xml:space="preserve"> </w:t>
            </w:r>
            <w:proofErr w:type="spellStart"/>
            <w:r>
              <w:t>лииом</w:t>
            </w:r>
            <w:proofErr w:type="spellEnd"/>
            <w:r>
              <w:t xml:space="preserve"> </w:t>
            </w:r>
            <w:proofErr w:type="spellStart"/>
            <w:r>
              <w:t>лииензируемого</w:t>
            </w:r>
            <w:proofErr w:type="spellEnd"/>
            <w:r>
              <w:t xml:space="preserve"> вида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5C3233">
            <w:pPr>
              <w:framePr w:wrap="notBeside" w:vAnchor="text" w:hAnchor="text" w:xAlign="center" w:y="1"/>
            </w:pPr>
          </w:p>
        </w:tc>
      </w:tr>
      <w:tr w:rsidR="005C323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5C3233">
            <w:pPr>
              <w:framePr w:wrap="notBeside" w:vAnchor="text" w:hAnchor="text" w:xAlign="center" w:y="1"/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деятельности, перечня выполняемых работ, оказываемых услуг.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5C3233">
            <w:pPr>
              <w:framePr w:wrap="notBeside" w:vAnchor="text" w:hAnchor="text" w:xAlign="center" w:y="1"/>
            </w:pPr>
          </w:p>
        </w:tc>
      </w:tr>
      <w:tr w:rsidR="005C323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5C3233">
            <w:pPr>
              <w:framePr w:wrap="notBeside" w:vAnchor="text" w:hAnchor="text" w:xAlign="center" w:y="1"/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gramStart"/>
            <w:r>
              <w:t xml:space="preserve">составляющих </w:t>
            </w:r>
            <w:proofErr w:type="spellStart"/>
            <w:r>
              <w:t>лииензируемый</w:t>
            </w:r>
            <w:proofErr w:type="spellEnd"/>
            <w:r>
              <w:t xml:space="preserve"> вид деятельности</w:t>
            </w:r>
            <w:r>
              <w:rPr>
                <w:rStyle w:val="310pt0"/>
              </w:rPr>
              <w:t xml:space="preserve"> (п. 1 ст. 18 Федерального</w:t>
            </w:r>
            <w:proofErr w:type="gramEnd"/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5C3233">
            <w:pPr>
              <w:framePr w:wrap="notBeside" w:vAnchor="text" w:hAnchor="text" w:xAlign="center" w:y="1"/>
            </w:pPr>
          </w:p>
        </w:tc>
      </w:tr>
      <w:tr w:rsidR="005C3233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5C3233">
            <w:pPr>
              <w:framePr w:wrap="notBeside" w:vAnchor="text" w:hAnchor="text" w:xAlign="center" w:y="1"/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7C596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закона от 04.05.2011г. № 99-ФЗ «0 лицензировании отдельных видов деятельности»);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233" w:rsidRDefault="005C3233">
            <w:pPr>
              <w:framePr w:wrap="notBeside" w:vAnchor="text" w:hAnchor="text" w:xAlign="center" w:y="1"/>
            </w:pPr>
          </w:p>
        </w:tc>
      </w:tr>
    </w:tbl>
    <w:p w:rsidR="005C3233" w:rsidRDefault="005C3233">
      <w:pPr>
        <w:rPr>
          <w:sz w:val="2"/>
          <w:szCs w:val="2"/>
        </w:rPr>
      </w:pPr>
    </w:p>
    <w:sectPr w:rsidR="005C3233">
      <w:type w:val="continuous"/>
      <w:pgSz w:w="11905" w:h="16837"/>
      <w:pgMar w:top="1253" w:right="83" w:bottom="1349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60" w:rsidRDefault="007C5960">
      <w:r>
        <w:separator/>
      </w:r>
    </w:p>
  </w:endnote>
  <w:endnote w:type="continuationSeparator" w:id="0">
    <w:p w:rsidR="007C5960" w:rsidRDefault="007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60" w:rsidRDefault="007C5960"/>
  </w:footnote>
  <w:footnote w:type="continuationSeparator" w:id="0">
    <w:p w:rsidR="007C5960" w:rsidRDefault="007C59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C3233"/>
    <w:rsid w:val="005C3233"/>
    <w:rsid w:val="006C2F01"/>
    <w:rsid w:val="007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115pt">
    <w:name w:val="Заголовок №3 + 11;5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0pt0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1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960" w:line="331" w:lineRule="exac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Home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2010-11-11T22:49:00Z</dcterms:created>
  <dcterms:modified xsi:type="dcterms:W3CDTF">2010-11-11T22:50:00Z</dcterms:modified>
</cp:coreProperties>
</file>